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Pr="000A22EB" w:rsidRDefault="000A22EB" w:rsidP="000A22EB">
      <w:pPr>
        <w:jc w:val="center"/>
        <w:rPr>
          <w:sz w:val="36"/>
          <w:szCs w:val="36"/>
          <w:u w:val="single"/>
        </w:rPr>
      </w:pPr>
      <w:r w:rsidRPr="000A22EB">
        <w:rPr>
          <w:sz w:val="36"/>
          <w:szCs w:val="36"/>
          <w:u w:val="single"/>
        </w:rPr>
        <w:t>EQUIVALENT FRACTIONS</w:t>
      </w:r>
    </w:p>
    <w:p w:rsidR="000A22EB" w:rsidRPr="000A22EB" w:rsidRDefault="000A22EB" w:rsidP="000A22EB">
      <w:pPr>
        <w:jc w:val="center"/>
        <w:rPr>
          <w:sz w:val="24"/>
          <w:szCs w:val="24"/>
          <w:u w:val="single"/>
        </w:rPr>
      </w:pPr>
      <w:r w:rsidRPr="000A22EB">
        <w:rPr>
          <w:sz w:val="24"/>
          <w:szCs w:val="24"/>
          <w:u w:val="single"/>
        </w:rPr>
        <w:t>Use the fractions wall to help you identify equivalent fractions</w:t>
      </w:r>
    </w:p>
    <w:p w:rsidR="000A22EB" w:rsidRDefault="000A22EB">
      <w:pPr>
        <w:rPr>
          <w:sz w:val="24"/>
          <w:szCs w:val="24"/>
        </w:rPr>
      </w:pPr>
    </w:p>
    <w:p w:rsidR="000A22EB" w:rsidRPr="000A22EB" w:rsidRDefault="000A22EB" w:rsidP="000A22EB">
      <w:pPr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55E22AD" wp14:editId="47209C9E">
            <wp:extent cx="5304790" cy="7734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34022" cy="7776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2EB" w:rsidRPr="000A22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2EB"/>
    <w:rsid w:val="000A22EB"/>
    <w:rsid w:val="00747C2F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CCA8A"/>
  <w15:chartTrackingRefBased/>
  <w15:docId w15:val="{671B6529-140B-4CF1-8257-DC61C36E7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1</cp:revision>
  <dcterms:created xsi:type="dcterms:W3CDTF">2020-04-21T09:01:00Z</dcterms:created>
  <dcterms:modified xsi:type="dcterms:W3CDTF">2020-04-21T09:04:00Z</dcterms:modified>
</cp:coreProperties>
</file>